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C6E97" w14:textId="77777777" w:rsidR="003B5E88" w:rsidRPr="003B5E88" w:rsidRDefault="001C6ECB" w:rsidP="005D5C74">
      <w:pPr>
        <w:spacing w:before="100" w:beforeAutospacing="1" w:after="100" w:afterAutospacing="1"/>
        <w:jc w:val="center"/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noProof/>
          <w:color w:val="6633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E1072C" wp14:editId="0F0BDF23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12800" cy="990600"/>
            <wp:effectExtent l="0" t="0" r="0" b="0"/>
            <wp:wrapSquare wrapText="bothSides"/>
            <wp:docPr id="1" name="Immagine 1" descr="HD:Users:gino:Desktop:logo-vati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D:Users:gino:Desktop:logo-vati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E88" w:rsidRPr="003B5E88">
        <w:rPr>
          <w:rFonts w:ascii="Times" w:hAnsi="Times" w:cs="Times New Roman"/>
          <w:color w:val="663300"/>
          <w:sz w:val="22"/>
          <w:szCs w:val="22"/>
        </w:rPr>
        <w:t>CONGREGAZIONE PER LA DOTTRINA DELLA FEDE</w:t>
      </w:r>
    </w:p>
    <w:p w14:paraId="360B5559" w14:textId="77777777" w:rsidR="003B5E88" w:rsidRPr="003B5E88" w:rsidRDefault="003B5E88" w:rsidP="005D5C74">
      <w:pPr>
        <w:spacing w:before="100" w:beforeAutospacing="1" w:after="100" w:afterAutospacing="1"/>
        <w:jc w:val="center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b/>
          <w:bCs/>
          <w:color w:val="663300"/>
          <w:sz w:val="27"/>
          <w:szCs w:val="27"/>
        </w:rPr>
        <w:t>Istruzione </w:t>
      </w:r>
      <w:r w:rsidRPr="003B5E88">
        <w:rPr>
          <w:rFonts w:ascii="Times" w:hAnsi="Times" w:cs="Times New Roman"/>
          <w:i/>
          <w:iCs/>
          <w:color w:val="663300"/>
          <w:sz w:val="27"/>
          <w:szCs w:val="27"/>
        </w:rPr>
        <w:t xml:space="preserve">Ad </w:t>
      </w:r>
      <w:proofErr w:type="spellStart"/>
      <w:r w:rsidRPr="003B5E88">
        <w:rPr>
          <w:rFonts w:ascii="Times" w:hAnsi="Times" w:cs="Times New Roman"/>
          <w:i/>
          <w:iCs/>
          <w:color w:val="663300"/>
          <w:sz w:val="27"/>
          <w:szCs w:val="27"/>
        </w:rPr>
        <w:t>resurgendum</w:t>
      </w:r>
      <w:proofErr w:type="spellEnd"/>
      <w:r w:rsidRPr="003B5E88">
        <w:rPr>
          <w:rFonts w:ascii="Times" w:hAnsi="Times" w:cs="Times New Roman"/>
          <w:i/>
          <w:iCs/>
          <w:color w:val="663300"/>
          <w:sz w:val="27"/>
          <w:szCs w:val="27"/>
        </w:rPr>
        <w:t xml:space="preserve"> </w:t>
      </w:r>
      <w:proofErr w:type="spellStart"/>
      <w:r w:rsidRPr="003B5E88">
        <w:rPr>
          <w:rFonts w:ascii="Times" w:hAnsi="Times" w:cs="Times New Roman"/>
          <w:i/>
          <w:iCs/>
          <w:color w:val="663300"/>
          <w:sz w:val="27"/>
          <w:szCs w:val="27"/>
        </w:rPr>
        <w:t>cum</w:t>
      </w:r>
      <w:proofErr w:type="spellEnd"/>
      <w:r w:rsidRPr="003B5E88">
        <w:rPr>
          <w:rFonts w:ascii="Times" w:hAnsi="Times" w:cs="Times New Roman"/>
          <w:i/>
          <w:iCs/>
          <w:color w:val="663300"/>
          <w:sz w:val="27"/>
          <w:szCs w:val="27"/>
        </w:rPr>
        <w:t xml:space="preserve"> </w:t>
      </w:r>
      <w:proofErr w:type="spellStart"/>
      <w:r w:rsidRPr="003B5E88">
        <w:rPr>
          <w:rFonts w:ascii="Times" w:hAnsi="Times" w:cs="Times New Roman"/>
          <w:i/>
          <w:iCs/>
          <w:color w:val="663300"/>
          <w:sz w:val="27"/>
          <w:szCs w:val="27"/>
        </w:rPr>
        <w:t>Christo</w:t>
      </w:r>
      <w:proofErr w:type="spellEnd"/>
      <w:r w:rsidRPr="003B5E88">
        <w:rPr>
          <w:rFonts w:ascii="Times" w:hAnsi="Times" w:cs="Times New Roman"/>
          <w:b/>
          <w:bCs/>
          <w:color w:val="663300"/>
          <w:sz w:val="27"/>
          <w:szCs w:val="27"/>
        </w:rPr>
        <w:br/>
        <w:t>circa la sepoltura dei defunti</w:t>
      </w:r>
      <w:r w:rsidRPr="003B5E88">
        <w:rPr>
          <w:rFonts w:ascii="Times" w:hAnsi="Times" w:cs="Times New Roman"/>
          <w:b/>
          <w:bCs/>
          <w:color w:val="663300"/>
          <w:sz w:val="27"/>
          <w:szCs w:val="27"/>
        </w:rPr>
        <w:br/>
      </w:r>
      <w:proofErr w:type="gramStart"/>
      <w:r w:rsidRPr="003B5E88">
        <w:rPr>
          <w:rFonts w:ascii="Times" w:hAnsi="Times" w:cs="Times New Roman"/>
          <w:b/>
          <w:bCs/>
          <w:color w:val="663300"/>
          <w:sz w:val="27"/>
          <w:szCs w:val="27"/>
        </w:rPr>
        <w:t>e</w:t>
      </w:r>
      <w:proofErr w:type="gramEnd"/>
      <w:r w:rsidRPr="003B5E88">
        <w:rPr>
          <w:rFonts w:ascii="Times" w:hAnsi="Times" w:cs="Times New Roman"/>
          <w:b/>
          <w:bCs/>
          <w:color w:val="663300"/>
          <w:sz w:val="27"/>
          <w:szCs w:val="27"/>
        </w:rPr>
        <w:t xml:space="preserve"> la conservazione delle ceneri in caso di cremazione</w:t>
      </w:r>
    </w:p>
    <w:p w14:paraId="6BD5FD8A" w14:textId="77777777" w:rsidR="003B5E88" w:rsidRPr="003B5E88" w:rsidRDefault="003B5E88" w:rsidP="005D5C74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 </w:t>
      </w:r>
    </w:p>
    <w:p w14:paraId="0B6C788B" w14:textId="77777777" w:rsidR="003B5E88" w:rsidRPr="003B5E88" w:rsidRDefault="003B5E88" w:rsidP="005D5C74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 xml:space="preserve">1. Per risuscitare con Cristo, bisogna morire con Cristo, bisogna </w:t>
      </w:r>
      <w:proofErr w:type="gramStart"/>
      <w:r w:rsidRPr="003B5E88">
        <w:rPr>
          <w:rFonts w:ascii="Times" w:hAnsi="Times" w:cs="Times New Roman"/>
          <w:sz w:val="22"/>
          <w:szCs w:val="22"/>
        </w:rPr>
        <w:t>«</w:t>
      </w:r>
      <w:proofErr w:type="gramEnd"/>
      <w:r w:rsidRPr="003B5E88">
        <w:rPr>
          <w:rFonts w:ascii="Times" w:hAnsi="Times" w:cs="Times New Roman"/>
          <w:sz w:val="22"/>
          <w:szCs w:val="22"/>
        </w:rPr>
        <w:t>andare in esilio dal corpo e abitare presso il Signore» (</w:t>
      </w:r>
      <w:r w:rsidRPr="003B5E88">
        <w:rPr>
          <w:rFonts w:ascii="Times" w:hAnsi="Times" w:cs="Times New Roman"/>
          <w:i/>
          <w:iCs/>
          <w:sz w:val="22"/>
          <w:szCs w:val="22"/>
        </w:rPr>
        <w:t xml:space="preserve">2 </w:t>
      </w:r>
      <w:proofErr w:type="spellStart"/>
      <w:r w:rsidRPr="003B5E88">
        <w:rPr>
          <w:rFonts w:ascii="Times" w:hAnsi="Times" w:cs="Times New Roman"/>
          <w:i/>
          <w:iCs/>
          <w:sz w:val="22"/>
          <w:szCs w:val="22"/>
        </w:rPr>
        <w:t>Cor</w:t>
      </w:r>
      <w:proofErr w:type="spellEnd"/>
      <w:r w:rsidRPr="003B5E88">
        <w:rPr>
          <w:rFonts w:ascii="Times" w:hAnsi="Times" w:cs="Times New Roman"/>
          <w:sz w:val="22"/>
          <w:szCs w:val="22"/>
        </w:rPr>
        <w:t> 5,8). Con l’Istruzione </w:t>
      </w:r>
      <w:proofErr w:type="spellStart"/>
      <w:r w:rsidRPr="003B5E88">
        <w:rPr>
          <w:rFonts w:ascii="Times" w:hAnsi="Times" w:cs="Times New Roman"/>
          <w:i/>
          <w:iCs/>
          <w:sz w:val="22"/>
          <w:szCs w:val="22"/>
        </w:rPr>
        <w:t>Piam</w:t>
      </w:r>
      <w:proofErr w:type="spellEnd"/>
      <w:r w:rsidRPr="003B5E88">
        <w:rPr>
          <w:rFonts w:ascii="Times" w:hAnsi="Times" w:cs="Times New Roman"/>
          <w:i/>
          <w:iCs/>
          <w:sz w:val="22"/>
          <w:szCs w:val="22"/>
        </w:rPr>
        <w:t xml:space="preserve"> et </w:t>
      </w:r>
      <w:proofErr w:type="spellStart"/>
      <w:r w:rsidRPr="003B5E88">
        <w:rPr>
          <w:rFonts w:ascii="Times" w:hAnsi="Times" w:cs="Times New Roman"/>
          <w:i/>
          <w:iCs/>
          <w:sz w:val="22"/>
          <w:szCs w:val="22"/>
        </w:rPr>
        <w:t>constantem</w:t>
      </w:r>
      <w:proofErr w:type="spellEnd"/>
      <w:r w:rsidRPr="003B5E88">
        <w:rPr>
          <w:rFonts w:ascii="Times" w:hAnsi="Times" w:cs="Times New Roman"/>
          <w:sz w:val="22"/>
          <w:szCs w:val="22"/>
        </w:rPr>
        <w:t> del 5 luglio 1963, l’allora Sant’Uffizio ha stabilito che «sia fedelmente mantenuta la consuetudine di seppellire i cadaveri dei fedeli», aggiungendo però che la cremazione non è «di per sé contraria alla religione cristiana» e che non siano più negati i sacramenti e le esequie a coloro che abbiano chiesto di farsi cremare, a condizione che tale scelta non sia voluta «come negazione dei dogmi cristiani, o con animo settario, o per odio contro la religione cattolica e la Chiesa».</w:t>
      </w:r>
      <w:bookmarkStart w:id="0" w:name="_ftnref1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"_ftn1"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[1]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0"/>
      <w:r w:rsidRPr="003B5E88">
        <w:rPr>
          <w:rFonts w:ascii="Times" w:hAnsi="Times" w:cs="Times New Roman"/>
          <w:sz w:val="22"/>
          <w:szCs w:val="22"/>
        </w:rPr>
        <w:t> Questo cambiamento della d</w:t>
      </w:r>
      <w:bookmarkStart w:id="1" w:name="_GoBack"/>
      <w:r w:rsidRPr="003B5E88">
        <w:rPr>
          <w:rFonts w:ascii="Times" w:hAnsi="Times" w:cs="Times New Roman"/>
          <w:sz w:val="22"/>
          <w:szCs w:val="22"/>
        </w:rPr>
        <w:t>i</w:t>
      </w:r>
      <w:bookmarkEnd w:id="1"/>
      <w:r w:rsidRPr="003B5E88">
        <w:rPr>
          <w:rFonts w:ascii="Times" w:hAnsi="Times" w:cs="Times New Roman"/>
          <w:sz w:val="22"/>
          <w:szCs w:val="22"/>
        </w:rPr>
        <w:t>sciplina ecclesiastica è stato poi recepito nel Codice di Diritto Canonico (1983) e nel Codice dei Canoni delle Chiese Orientali (1990).</w:t>
      </w:r>
    </w:p>
    <w:p w14:paraId="5B592511" w14:textId="77777777" w:rsidR="003B5E88" w:rsidRPr="003B5E88" w:rsidRDefault="003B5E88" w:rsidP="005D5C74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 xml:space="preserve">Nel frattempo la prassi della cremazione si è notevolmente diffusa in non poche Nazioni, ma </w:t>
      </w:r>
      <w:proofErr w:type="gramStart"/>
      <w:r w:rsidRPr="003B5E88">
        <w:rPr>
          <w:rFonts w:ascii="Times" w:hAnsi="Times" w:cs="Times New Roman"/>
          <w:sz w:val="22"/>
          <w:szCs w:val="22"/>
        </w:rPr>
        <w:t>nel contempo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si sono diffuse anche nuove idee in contrasto con la fede della Chiesa. Dopo avere opportunamente sentito la Congregazione per il Culto Divino </w:t>
      </w:r>
      <w:proofErr w:type="gramStart"/>
      <w:r w:rsidRPr="003B5E88">
        <w:rPr>
          <w:rFonts w:ascii="Times" w:hAnsi="Times" w:cs="Times New Roman"/>
          <w:sz w:val="22"/>
          <w:szCs w:val="22"/>
        </w:rPr>
        <w:t>e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la Disciplina dei Sacramenti, il Pontificio Consiglio per i Testi Legislativi e numerose Conferenze Episcopali e Sinodi dei Vescovi delle Chiese Orientali, la Congregazione per la Dottrina della Fede ha ritenuto opportuno la pubblicazione di una nuova Istruzione, allo scopo di ribadire le ragioni dottrinali e pastorali per la preferenza della sepoltura dei corpi e di emanare norme per quanto riguarda la conservazione delle ceneri nel caso della cremazione.</w:t>
      </w:r>
    </w:p>
    <w:p w14:paraId="05EFDC57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proofErr w:type="gramStart"/>
      <w:r w:rsidRPr="003B5E88">
        <w:rPr>
          <w:rFonts w:ascii="Times" w:hAnsi="Times" w:cs="Times New Roman"/>
          <w:sz w:val="22"/>
          <w:szCs w:val="22"/>
        </w:rPr>
        <w:t xml:space="preserve">2. La risurrezione di Gesù è la verità culminante della fede cristiana, predicata come parte essenziale del Mistero pasquale fin dalle origini del cristianesimo: «Vi ho trasmesso quello che anch’io ho ricevuto: che cioè Cristo morì per i nostri peccati secondo le Scritture, fu sepolto ed è risuscitato il terzo giorno secondo le Scritture, e che apparve a </w:t>
      </w:r>
      <w:proofErr w:type="spellStart"/>
      <w:r w:rsidRPr="003B5E88">
        <w:rPr>
          <w:rFonts w:ascii="Times" w:hAnsi="Times" w:cs="Times New Roman"/>
          <w:sz w:val="22"/>
          <w:szCs w:val="22"/>
        </w:rPr>
        <w:t>Cefa</w:t>
      </w:r>
      <w:proofErr w:type="spellEnd"/>
      <w:r w:rsidRPr="003B5E88">
        <w:rPr>
          <w:rFonts w:ascii="Times" w:hAnsi="Times" w:cs="Times New Roman"/>
          <w:sz w:val="22"/>
          <w:szCs w:val="22"/>
        </w:rPr>
        <w:t xml:space="preserve"> e quindi ai Dodici» (</w:t>
      </w:r>
      <w:r w:rsidRPr="003B5E88">
        <w:rPr>
          <w:rFonts w:ascii="Times" w:hAnsi="Times" w:cs="Times New Roman"/>
          <w:i/>
          <w:iCs/>
          <w:sz w:val="22"/>
          <w:szCs w:val="22"/>
        </w:rPr>
        <w:t xml:space="preserve">1 </w:t>
      </w:r>
      <w:proofErr w:type="spellStart"/>
      <w:r w:rsidRPr="003B5E88">
        <w:rPr>
          <w:rFonts w:ascii="Times" w:hAnsi="Times" w:cs="Times New Roman"/>
          <w:i/>
          <w:iCs/>
          <w:sz w:val="22"/>
          <w:szCs w:val="22"/>
        </w:rPr>
        <w:t>Cor</w:t>
      </w:r>
      <w:proofErr w:type="spellEnd"/>
      <w:r w:rsidRPr="003B5E88">
        <w:rPr>
          <w:rFonts w:ascii="Times" w:hAnsi="Times" w:cs="Times New Roman"/>
          <w:sz w:val="22"/>
          <w:szCs w:val="22"/>
        </w:rPr>
        <w:t> 15,3–5).</w:t>
      </w:r>
      <w:proofErr w:type="gramEnd"/>
    </w:p>
    <w:p w14:paraId="5DE49CF1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 xml:space="preserve">Mediante la sua morte e risurrezione, Cristo ci ha liberato dal peccato e ci ha dato accesso a una nuova vita: </w:t>
      </w:r>
      <w:proofErr w:type="gramStart"/>
      <w:r w:rsidRPr="003B5E88">
        <w:rPr>
          <w:rFonts w:ascii="Times" w:hAnsi="Times" w:cs="Times New Roman"/>
          <w:sz w:val="22"/>
          <w:szCs w:val="22"/>
        </w:rPr>
        <w:t>«</w:t>
      </w:r>
      <w:proofErr w:type="gramEnd"/>
      <w:r w:rsidRPr="003B5E88">
        <w:rPr>
          <w:rFonts w:ascii="Times" w:hAnsi="Times" w:cs="Times New Roman"/>
          <w:sz w:val="22"/>
          <w:szCs w:val="22"/>
        </w:rPr>
        <w:t>Come Cristo fu risuscitato dai morti per mezzo della gloria del Padre, così anche noi possiamo camminare in una vita nuova» (</w:t>
      </w:r>
      <w:proofErr w:type="spellStart"/>
      <w:r w:rsidRPr="003B5E88">
        <w:rPr>
          <w:rFonts w:ascii="Times" w:hAnsi="Times" w:cs="Times New Roman"/>
          <w:i/>
          <w:iCs/>
          <w:sz w:val="22"/>
          <w:szCs w:val="22"/>
        </w:rPr>
        <w:t>Rm</w:t>
      </w:r>
      <w:proofErr w:type="spellEnd"/>
      <w:r w:rsidRPr="003B5E88">
        <w:rPr>
          <w:rFonts w:ascii="Times" w:hAnsi="Times" w:cs="Times New Roman"/>
          <w:sz w:val="22"/>
          <w:szCs w:val="22"/>
        </w:rPr>
        <w:t xml:space="preserve"> 6,4). Inoltre, il Cristo risorto è principio e sorgente della nostra risurrezione futura: «Cristo è risuscitato dai morti, primizia di </w:t>
      </w:r>
      <w:proofErr w:type="gramStart"/>
      <w:r w:rsidRPr="003B5E88">
        <w:rPr>
          <w:rFonts w:ascii="Times" w:hAnsi="Times" w:cs="Times New Roman"/>
          <w:sz w:val="22"/>
          <w:szCs w:val="22"/>
        </w:rPr>
        <w:t>coloro che sono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morti...; e come tutti muoiono in Adamo, così tutti riceveranno la vita in Cristo» (</w:t>
      </w:r>
      <w:r w:rsidRPr="003B5E88">
        <w:rPr>
          <w:rFonts w:ascii="Times" w:hAnsi="Times" w:cs="Times New Roman"/>
          <w:i/>
          <w:iCs/>
          <w:sz w:val="22"/>
          <w:szCs w:val="22"/>
        </w:rPr>
        <w:t xml:space="preserve">1 </w:t>
      </w:r>
      <w:proofErr w:type="spellStart"/>
      <w:r w:rsidRPr="003B5E88">
        <w:rPr>
          <w:rFonts w:ascii="Times" w:hAnsi="Times" w:cs="Times New Roman"/>
          <w:i/>
          <w:iCs/>
          <w:sz w:val="22"/>
          <w:szCs w:val="22"/>
        </w:rPr>
        <w:t>Cor</w:t>
      </w:r>
      <w:proofErr w:type="spellEnd"/>
      <w:r w:rsidRPr="003B5E88">
        <w:rPr>
          <w:rFonts w:ascii="Times" w:hAnsi="Times" w:cs="Times New Roman"/>
          <w:sz w:val="22"/>
          <w:szCs w:val="22"/>
        </w:rPr>
        <w:t> 15,20–22).</w:t>
      </w:r>
    </w:p>
    <w:p w14:paraId="2665B141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Se è vero che Cristo ci risusciterà nell’ultimo giorno, è anche vero che, per un certo aspetto, siamo già risuscitati con Cristo. Con il Battesimo, infatti, siamo immersi nella morte e risurrezione di Cristo e sacramentalmente assimilati a lui: «Con lui</w:t>
      </w:r>
      <w:proofErr w:type="gramStart"/>
      <w:r w:rsidRPr="003B5E88">
        <w:rPr>
          <w:rFonts w:ascii="Times" w:hAnsi="Times" w:cs="Times New Roman"/>
          <w:sz w:val="22"/>
          <w:szCs w:val="22"/>
        </w:rPr>
        <w:t xml:space="preserve"> infatti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siete stati sepolti insieme nel Battesimo, in lui anche siete stati insieme risuscitati per la fede nella potenza di Dio, che lo ha risuscitato dai morti» (</w:t>
      </w:r>
      <w:r w:rsidRPr="003B5E88">
        <w:rPr>
          <w:rFonts w:ascii="Times" w:hAnsi="Times" w:cs="Times New Roman"/>
          <w:i/>
          <w:iCs/>
          <w:sz w:val="22"/>
          <w:szCs w:val="22"/>
        </w:rPr>
        <w:t>Col</w:t>
      </w:r>
      <w:r w:rsidRPr="003B5E88">
        <w:rPr>
          <w:rFonts w:ascii="Times" w:hAnsi="Times" w:cs="Times New Roman"/>
          <w:sz w:val="22"/>
          <w:szCs w:val="22"/>
        </w:rPr>
        <w:t> 2,12). Uniti a Cristo mediante il Battesimo, partecipiamo già realmente alla vita di Cristo risorto (</w:t>
      </w:r>
      <w:proofErr w:type="spellStart"/>
      <w:r w:rsidRPr="003B5E88">
        <w:rPr>
          <w:rFonts w:ascii="Times" w:hAnsi="Times" w:cs="Times New Roman"/>
          <w:sz w:val="22"/>
          <w:szCs w:val="22"/>
        </w:rPr>
        <w:t>cf</w:t>
      </w:r>
      <w:proofErr w:type="spellEnd"/>
      <w:r w:rsidRPr="003B5E88">
        <w:rPr>
          <w:rFonts w:ascii="Times" w:hAnsi="Times" w:cs="Times New Roman"/>
          <w:sz w:val="22"/>
          <w:szCs w:val="22"/>
        </w:rPr>
        <w:t>. </w:t>
      </w:r>
      <w:proofErr w:type="spellStart"/>
      <w:r w:rsidRPr="003B5E88">
        <w:rPr>
          <w:rFonts w:ascii="Times" w:hAnsi="Times" w:cs="Times New Roman"/>
          <w:i/>
          <w:iCs/>
          <w:sz w:val="22"/>
          <w:szCs w:val="22"/>
        </w:rPr>
        <w:t>Ef</w:t>
      </w:r>
      <w:proofErr w:type="spellEnd"/>
      <w:r w:rsidRPr="003B5E88">
        <w:rPr>
          <w:rFonts w:ascii="Times" w:hAnsi="Times" w:cs="Times New Roman"/>
          <w:sz w:val="22"/>
          <w:szCs w:val="22"/>
        </w:rPr>
        <w:t> 2,6).</w:t>
      </w:r>
    </w:p>
    <w:p w14:paraId="264DCD14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Grazie a Cristo, la morte cristiana ha un significato positivo. La liturgia della Chiesa prega: «Ai tuoi fedeli, Signore, la vita non è tolta, ma trasformata; e mentre si distrugge la dimora di questo esilio terreno, viene preparata un’abitazione eterna nel cielo».</w:t>
      </w:r>
      <w:bookmarkStart w:id="2" w:name="_ftnref2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"_ftn2"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[2]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2"/>
      <w:r w:rsidRPr="003B5E88">
        <w:rPr>
          <w:rFonts w:ascii="Times" w:hAnsi="Times" w:cs="Times New Roman"/>
          <w:sz w:val="22"/>
          <w:szCs w:val="22"/>
        </w:rPr>
        <w:t> Con la morte, l’anima viene separata dal corpo, ma nella risurrezione Dio tornerà a dare la vita incorruttibile al nostro corpo trasformato, riunendolo alla nostra anima. Anche ai nostri giorni la Chiesa è chiamata ad annunciare la fede nella risurrezione: «La risurrezione dei morti è la fede dei cristiani: credendo in essa siamo tali».</w:t>
      </w:r>
      <w:bookmarkStart w:id="3" w:name="_ftnref3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"_ftn3"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[3]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3"/>
    </w:p>
    <w:p w14:paraId="11C1302A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3. Seguendo l’antichissima tradizione cristiana, la Chiesa raccomanda insistentemente che i corpi dei defunti vengano seppelliti nel cimitero o in altro luogo sacro.</w:t>
      </w:r>
      <w:bookmarkStart w:id="4" w:name="_ftnref4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"_ftn4"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[4]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4"/>
    </w:p>
    <w:p w14:paraId="3B618211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Nel ricordo della morte, sepoltura e risurrezione del Signore, mistero alla luce del quale si manifesta il senso cristiano della morte,</w:t>
      </w:r>
      <w:bookmarkStart w:id="5" w:name="_ftnref5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"_ftn5"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[5]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5"/>
      <w:r w:rsidRPr="003B5E88">
        <w:rPr>
          <w:rFonts w:ascii="Times" w:hAnsi="Times" w:cs="Times New Roman"/>
          <w:sz w:val="22"/>
          <w:szCs w:val="22"/>
        </w:rPr>
        <w:t>l’inumazione è innanzitutto la forma più idonea per esprimere la fede e la speranza nella risurrezione corporale.</w:t>
      </w:r>
      <w:bookmarkStart w:id="6" w:name="_ftnref6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"_ftn6"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[6]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6"/>
    </w:p>
    <w:p w14:paraId="26C7929B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lastRenderedPageBreak/>
        <w:t>La Chiesa, che come Madre ha accompagnato il cristiano durante il suo pellegrinaggio terreno, offre al Padre, in Cristo, il figlio della sua grazia e ne consegna alla terra le spoglie mortali nella speranza che risusciterà nella gloria.</w:t>
      </w:r>
      <w:bookmarkStart w:id="7" w:name="_ftnref7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"_ftn7"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[7]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7"/>
    </w:p>
    <w:p w14:paraId="51500246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Seppellendo i corpi dei fedeli defunti, la Chiesa conferma la fede nella risurrezione della carne,</w:t>
      </w:r>
      <w:bookmarkStart w:id="8" w:name="_ftnref8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"_ftn8"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[8]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8"/>
      <w:r w:rsidRPr="003B5E88">
        <w:rPr>
          <w:rFonts w:ascii="Times" w:hAnsi="Times" w:cs="Times New Roman"/>
          <w:sz w:val="22"/>
          <w:szCs w:val="22"/>
        </w:rPr>
        <w:t> e intende mettere in rilievo l’alta dignità del corpo umano come parte integrante della persona della quale il corpo condivide la storia.</w:t>
      </w:r>
      <w:bookmarkStart w:id="9" w:name="_ftnref9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"_ftn9"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[9]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9"/>
      <w:r w:rsidRPr="003B5E88">
        <w:rPr>
          <w:rFonts w:ascii="Times" w:hAnsi="Times" w:cs="Times New Roman"/>
          <w:sz w:val="22"/>
          <w:szCs w:val="22"/>
        </w:rPr>
        <w:t> Non può permettere, quindi, atteggiamenti e riti che coinvolgono concezioni errate della morte, ritenuta sia come l’annullamento definitivo della persona, sia come il momento della sua fusione con la Madre natura o con l’universo, sia come una tappa nel processo della re–incarnazione, sia come la liberazione definitiva della “prigione” del corpo.</w:t>
      </w:r>
    </w:p>
    <w:p w14:paraId="05741997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Inoltre, la sepoltura nei cimiteri o in altri luoghi sacri risponde adeguatamente alla pietà e al rispetto dovuti ai corpi dei fedeli defunti, che mediante il Battesimo sono diventati tempio dello Spirito Santo e dei quali, «come di strumenti e di vasi, si è santamente servito lo Spirito per compiere tante opere buone».</w:t>
      </w:r>
      <w:bookmarkStart w:id="10" w:name="_ftnref10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"_ftn10"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[10]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10"/>
    </w:p>
    <w:p w14:paraId="52066762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Il giusto Tobia viene lodato per i meriti acquisiti davanti a Dio per aver seppellito i morti,</w:t>
      </w:r>
      <w:bookmarkStart w:id="11" w:name="_ftnref11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"_ftn11"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[11]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11"/>
      <w:r w:rsidRPr="003B5E88">
        <w:rPr>
          <w:rFonts w:ascii="Times" w:hAnsi="Times" w:cs="Times New Roman"/>
          <w:sz w:val="22"/>
          <w:szCs w:val="22"/>
        </w:rPr>
        <w:t> e la Chiesa considera la sepoltura dei morti come un’opera di misericordia corporale.</w:t>
      </w:r>
      <w:bookmarkStart w:id="12" w:name="_ftnref12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"_ftn12"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[12]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12"/>
    </w:p>
    <w:p w14:paraId="5AB8F6E9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 xml:space="preserve">Infine, la sepoltura dei corpi dei fedeli defunti nei cimiteri o in altri luoghi sacri favorisce il ricordo e la preghiera per i defunti da parte dei familiari e di tutta la comunità cristiana, </w:t>
      </w:r>
      <w:proofErr w:type="gramStart"/>
      <w:r w:rsidRPr="003B5E88">
        <w:rPr>
          <w:rFonts w:ascii="Times" w:hAnsi="Times" w:cs="Times New Roman"/>
          <w:sz w:val="22"/>
          <w:szCs w:val="22"/>
        </w:rPr>
        <w:t>nonché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la venerazione dei martiri e dei santi.</w:t>
      </w:r>
    </w:p>
    <w:p w14:paraId="04E54075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 xml:space="preserve">Mediante la sepoltura dei corpi nei cimiteri, nelle chiese o nelle aree </w:t>
      </w:r>
      <w:proofErr w:type="gramStart"/>
      <w:r w:rsidRPr="003B5E88">
        <w:rPr>
          <w:rFonts w:ascii="Times" w:hAnsi="Times" w:cs="Times New Roman"/>
          <w:sz w:val="22"/>
          <w:szCs w:val="22"/>
        </w:rPr>
        <w:t>ad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esse adibite, la tradizione cristiana ha custodito la comunione tra i vivi e i defunti e si è opposta alla tendenza a occultare o privatizzare l’evento della morte e il significato che esso ha per i cristiani.</w:t>
      </w:r>
    </w:p>
    <w:p w14:paraId="69E68CFC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4. Laddove ragioni di tipo igienico, economico o sociale portino a scegliere la cremazione, scelta che non deve essere contraria alla volontà esplicita o ragionevolmente presunta del fedele defunto, la Chiesa non scorge ragioni dottrinali per impedire tale prassi, poiché la cremazione del cadavere non tocca l’anima e non impedisce all’onnipotenza divina di risuscitare il corpo e quindi non contiene l’oggettiva negazione della dottrina cristiana sull’immortalità dell’anima e la risurrezione dei corpi.</w:t>
      </w:r>
      <w:bookmarkStart w:id="13" w:name="_ftnref13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"_ftn13"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[13]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13"/>
    </w:p>
    <w:p w14:paraId="4CBBA07F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La Chiesa continua a preferire la sepoltura dei corpi poiché con essa si mostra una maggiore stima verso i defunti; tuttavia la cremazione non è vietata, «a meno che questa non sia stata scelta per ragioni contrarie alla dottrina cristiana».</w:t>
      </w:r>
      <w:bookmarkStart w:id="14" w:name="_ftnref14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"_ftn14"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[14]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14"/>
    </w:p>
    <w:p w14:paraId="55091921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 xml:space="preserve">In assenza di motivazioni contrarie alla dottrina cristiana, la Chiesa, dopo la celebrazione delle esequie, accompagna la scelta della cremazione con </w:t>
      </w:r>
      <w:proofErr w:type="gramStart"/>
      <w:r w:rsidRPr="003B5E88">
        <w:rPr>
          <w:rFonts w:ascii="Times" w:hAnsi="Times" w:cs="Times New Roman"/>
          <w:sz w:val="22"/>
          <w:szCs w:val="22"/>
        </w:rPr>
        <w:t>apposite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indicazioni liturgiche e pastorali, avendo particolare cura di evitare ogni forma di scandalo o di indifferentismo religioso.</w:t>
      </w:r>
    </w:p>
    <w:p w14:paraId="5915DD87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 xml:space="preserve">5. Qualora per motivazioni legittime </w:t>
      </w:r>
      <w:proofErr w:type="gramStart"/>
      <w:r w:rsidRPr="003B5E88">
        <w:rPr>
          <w:rFonts w:ascii="Times" w:hAnsi="Times" w:cs="Times New Roman"/>
          <w:sz w:val="22"/>
          <w:szCs w:val="22"/>
        </w:rPr>
        <w:t>venga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fatta la scelta della cremazione del cadavere, le ceneri del defunto devono essere conservate di regola in un luogo sacro, cioè nel cimitero o, se è il caso, in una chiesa o in un’area appositamente dedicata a tale scopo dalla competente autorità ecclesiastica.</w:t>
      </w:r>
    </w:p>
    <w:p w14:paraId="36E07C61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Sin dall’inizio i cristiani hanno desiderato che i loro defunti fossero oggetto delle preghiere e del ricordo della comunità cristiana. Le loro tombe divenivano luoghi di preghiera, della memoria e della riflessione. I fedeli defunti fanno parte della Chiesa, che crede alla comunione «di coloro che sono pellegrini su questa terra, dei defunti che compiono la loro purificazione e dei beati del cielo; tutti insieme formano una sola Chiesa».</w:t>
      </w:r>
      <w:bookmarkStart w:id="15" w:name="_ftnref15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"_ftn15"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[15]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15"/>
    </w:p>
    <w:p w14:paraId="5D106423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 xml:space="preserve">La conservazione delle ceneri in un luogo sacro può contribuire a ridurre il rischio di sottrarre i defunti alla preghiera e al ricordo dei parenti e della comunità cristiana. In tal modo, inoltre, si evita la possibilità di dimenticanze e mancanze di rispetto, che possono avvenire soprattutto una volta passata la prima generazione, </w:t>
      </w:r>
      <w:proofErr w:type="gramStart"/>
      <w:r w:rsidRPr="003B5E88">
        <w:rPr>
          <w:rFonts w:ascii="Times" w:hAnsi="Times" w:cs="Times New Roman"/>
          <w:sz w:val="22"/>
          <w:szCs w:val="22"/>
        </w:rPr>
        <w:t>nonché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pratiche sconvenienti o superstiziose.</w:t>
      </w:r>
    </w:p>
    <w:p w14:paraId="58DE76D1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 xml:space="preserve">6. Per i motivi sopra elencati, la conservazione delle ceneri nell’abitazione domestica non è consentita. </w:t>
      </w:r>
      <w:proofErr w:type="gramStart"/>
      <w:r w:rsidRPr="003B5E88">
        <w:rPr>
          <w:rFonts w:ascii="Times" w:hAnsi="Times" w:cs="Times New Roman"/>
          <w:sz w:val="22"/>
          <w:szCs w:val="22"/>
        </w:rPr>
        <w:t xml:space="preserve">Soltanto in caso di circostanze gravi ed eccezionali, dipendenti da condizioni culturali di carattere locale, </w:t>
      </w:r>
      <w:r w:rsidRPr="003B5E88">
        <w:rPr>
          <w:rFonts w:ascii="Times" w:hAnsi="Times" w:cs="Times New Roman"/>
          <w:sz w:val="22"/>
          <w:szCs w:val="22"/>
        </w:rPr>
        <w:lastRenderedPageBreak/>
        <w:t>l’Ordinario, in accordo con la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Conferenza Episcopale o il Sinodo dei Vescovi delle Chiese Orientali, può concedere il permesso per la conservazione delle ceneri nell’abitazione domestica. Le ceneri, tuttavia, non possono essere divise tra i vari nuclei familiari e vanno sempre </w:t>
      </w:r>
      <w:proofErr w:type="gramStart"/>
      <w:r w:rsidRPr="003B5E88">
        <w:rPr>
          <w:rFonts w:ascii="Times" w:hAnsi="Times" w:cs="Times New Roman"/>
          <w:sz w:val="22"/>
          <w:szCs w:val="22"/>
        </w:rPr>
        <w:t>assicurati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il rispetto e le adeguate condizioni di conservazione.</w:t>
      </w:r>
    </w:p>
    <w:p w14:paraId="6981238A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 xml:space="preserve">7. Per evitare ogni tipo di equivoco panteista, naturalista o nichilista, non sia permessa la dispersione delle ceneri nell’aria, in terra o in acqua o in altro modo oppure la conversione delle ceneri cremate in ricordi commemorativi, in pezzi di gioielleria o in altri oggetti, tenendo presente che per tali modi di procedere non possono essere addotte le ragioni igieniche, sociali o economiche che </w:t>
      </w:r>
      <w:proofErr w:type="gramStart"/>
      <w:r w:rsidRPr="003B5E88">
        <w:rPr>
          <w:rFonts w:ascii="Times" w:hAnsi="Times" w:cs="Times New Roman"/>
          <w:sz w:val="22"/>
          <w:szCs w:val="22"/>
        </w:rPr>
        <w:t>possono</w:t>
      </w:r>
      <w:proofErr w:type="gramEnd"/>
      <w:r w:rsidRPr="003B5E88">
        <w:rPr>
          <w:rFonts w:ascii="Times" w:hAnsi="Times" w:cs="Times New Roman"/>
          <w:sz w:val="22"/>
          <w:szCs w:val="22"/>
        </w:rPr>
        <w:t xml:space="preserve"> motivare la scelta della cremazione.</w:t>
      </w:r>
    </w:p>
    <w:p w14:paraId="1A3D4964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sz w:val="22"/>
          <w:szCs w:val="22"/>
        </w:rPr>
        <w:t>8. Nel caso che il defunto avesse notoriamente disposto la cremazione e la dispersione in natura delle proprie ceneri per ragioni contrarie alla fede cristiana, si devono negare le esequie, a norma del diritto.</w:t>
      </w:r>
      <w:bookmarkStart w:id="16" w:name="_ftnref16"/>
      <w:r w:rsidRPr="003B5E88">
        <w:rPr>
          <w:rFonts w:ascii="Times" w:hAnsi="Times" w:cs="Times New Roman"/>
          <w:sz w:val="22"/>
          <w:szCs w:val="22"/>
        </w:rPr>
        <w:fldChar w:fldCharType="begin"/>
      </w:r>
      <w:r w:rsidRPr="003B5E88">
        <w:rPr>
          <w:rFonts w:ascii="Times" w:hAnsi="Times" w:cs="Times New Roman"/>
          <w:sz w:val="22"/>
          <w:szCs w:val="22"/>
        </w:rPr>
        <w:instrText xml:space="preserve"> HYPERLINK "http://www.vatican.va/roman_curia/congregations/cfaith/documents/rc_con_cfaith_doc_20160815_ad-resurgendum-cum-christo_it.html" \l "_ftn16" \o "" </w:instrText>
      </w:r>
      <w:r w:rsidRPr="003B5E88">
        <w:rPr>
          <w:rFonts w:ascii="Times" w:hAnsi="Times" w:cs="Times New Roman"/>
          <w:sz w:val="22"/>
          <w:szCs w:val="22"/>
        </w:rPr>
        <w:fldChar w:fldCharType="separate"/>
      </w:r>
      <w:r w:rsidRPr="003B5E88">
        <w:rPr>
          <w:rFonts w:ascii="Times" w:hAnsi="Times" w:cs="Times New Roman"/>
          <w:color w:val="663300"/>
          <w:sz w:val="22"/>
          <w:szCs w:val="22"/>
          <w:u w:val="single"/>
        </w:rPr>
        <w:t>[16]</w:t>
      </w:r>
      <w:r w:rsidRPr="003B5E88">
        <w:rPr>
          <w:rFonts w:ascii="Times" w:hAnsi="Times" w:cs="Times New Roman"/>
          <w:sz w:val="22"/>
          <w:szCs w:val="22"/>
        </w:rPr>
        <w:fldChar w:fldCharType="end"/>
      </w:r>
      <w:bookmarkEnd w:id="16"/>
    </w:p>
    <w:p w14:paraId="3C353627" w14:textId="77777777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i/>
          <w:iCs/>
          <w:sz w:val="22"/>
          <w:szCs w:val="22"/>
        </w:rPr>
        <w:t xml:space="preserve">Il Sommo Pontefice Francesco, nell’Udienza concessa al sottoscritto Cardinale Prefetto in data 18 marzo 2016, ha approvato la presente Istruzione, decisa nella Sessione Ordinaria di questa Congregazione in data 2 marzo 2016, e ne ha </w:t>
      </w:r>
      <w:proofErr w:type="gramStart"/>
      <w:r w:rsidRPr="003B5E88">
        <w:rPr>
          <w:rFonts w:ascii="Times" w:hAnsi="Times" w:cs="Times New Roman"/>
          <w:i/>
          <w:iCs/>
          <w:sz w:val="22"/>
          <w:szCs w:val="22"/>
        </w:rPr>
        <w:t>ordinato</w:t>
      </w:r>
      <w:proofErr w:type="gramEnd"/>
      <w:r w:rsidRPr="003B5E88">
        <w:rPr>
          <w:rFonts w:ascii="Times" w:hAnsi="Times" w:cs="Times New Roman"/>
          <w:i/>
          <w:iCs/>
          <w:sz w:val="22"/>
          <w:szCs w:val="22"/>
        </w:rPr>
        <w:t xml:space="preserve"> la pubblicazione.</w:t>
      </w:r>
    </w:p>
    <w:p w14:paraId="103C8AA7" w14:textId="6BCA611F" w:rsidR="003B5E88" w:rsidRPr="003B5E88" w:rsidRDefault="003B5E88" w:rsidP="003B5E88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proofErr w:type="gramStart"/>
      <w:r w:rsidRPr="003B5E88">
        <w:rPr>
          <w:rFonts w:ascii="Times" w:hAnsi="Times" w:cs="Times New Roman"/>
          <w:sz w:val="22"/>
          <w:szCs w:val="22"/>
        </w:rPr>
        <w:t>Roma, dalla Sede della Congregazione per la Dottrina della Fede, 15 agosto 2016, Solennità dell’Assunzione della Beata Vergine Maria.</w:t>
      </w:r>
      <w:proofErr w:type="gramEnd"/>
    </w:p>
    <w:p w14:paraId="7D9FD745" w14:textId="77777777" w:rsidR="003B5E88" w:rsidRPr="003B5E88" w:rsidRDefault="003B5E88" w:rsidP="003B5E88">
      <w:pPr>
        <w:spacing w:before="100" w:beforeAutospacing="1" w:after="100" w:afterAutospacing="1"/>
        <w:jc w:val="center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b/>
          <w:bCs/>
          <w:sz w:val="22"/>
          <w:szCs w:val="22"/>
        </w:rPr>
        <w:t>Gerhard Card. Müller</w:t>
      </w:r>
      <w:r w:rsidRPr="003B5E88">
        <w:rPr>
          <w:rFonts w:ascii="Times" w:hAnsi="Times" w:cs="Times New Roman"/>
          <w:b/>
          <w:bCs/>
          <w:sz w:val="22"/>
          <w:szCs w:val="22"/>
        </w:rPr>
        <w:br/>
      </w:r>
      <w:r w:rsidRPr="003B5E88">
        <w:rPr>
          <w:rFonts w:ascii="Times" w:hAnsi="Times" w:cs="Times New Roman"/>
          <w:i/>
          <w:iCs/>
          <w:sz w:val="22"/>
          <w:szCs w:val="22"/>
        </w:rPr>
        <w:t>Prefetto</w:t>
      </w:r>
    </w:p>
    <w:p w14:paraId="7699D41A" w14:textId="2887D59F" w:rsidR="003B5E88" w:rsidRPr="003B5E88" w:rsidRDefault="003B5E88" w:rsidP="00D641D8">
      <w:pPr>
        <w:spacing w:before="100" w:beforeAutospacing="1" w:after="100" w:afterAutospacing="1"/>
        <w:jc w:val="center"/>
        <w:rPr>
          <w:rFonts w:ascii="Times" w:hAnsi="Times" w:cs="Times New Roman"/>
          <w:sz w:val="22"/>
          <w:szCs w:val="22"/>
        </w:rPr>
      </w:pPr>
      <w:r w:rsidRPr="003B5E88">
        <w:rPr>
          <w:rFonts w:ascii="Times" w:hAnsi="Times" w:cs="Times New Roman"/>
          <w:b/>
          <w:bCs/>
          <w:sz w:val="22"/>
          <w:szCs w:val="22"/>
        </w:rPr>
        <w:t xml:space="preserve">+ Luis F. </w:t>
      </w:r>
      <w:proofErr w:type="spellStart"/>
      <w:r w:rsidRPr="003B5E88">
        <w:rPr>
          <w:rFonts w:ascii="Times" w:hAnsi="Times" w:cs="Times New Roman"/>
          <w:b/>
          <w:bCs/>
          <w:sz w:val="22"/>
          <w:szCs w:val="22"/>
        </w:rPr>
        <w:t>Ladaria</w:t>
      </w:r>
      <w:proofErr w:type="spellEnd"/>
      <w:r w:rsidRPr="003B5E88">
        <w:rPr>
          <w:rFonts w:ascii="Times" w:hAnsi="Times" w:cs="Times New Roman"/>
          <w:b/>
          <w:bCs/>
          <w:sz w:val="22"/>
          <w:szCs w:val="22"/>
        </w:rPr>
        <w:t xml:space="preserve">, </w:t>
      </w:r>
      <w:proofErr w:type="gramStart"/>
      <w:r w:rsidRPr="003B5E88">
        <w:rPr>
          <w:rFonts w:ascii="Times" w:hAnsi="Times" w:cs="Times New Roman"/>
          <w:b/>
          <w:bCs/>
          <w:sz w:val="22"/>
          <w:szCs w:val="22"/>
        </w:rPr>
        <w:t>S.I</w:t>
      </w:r>
      <w:proofErr w:type="gramEnd"/>
      <w:r w:rsidRPr="003B5E88">
        <w:rPr>
          <w:rFonts w:ascii="Times" w:hAnsi="Times" w:cs="Times New Roman"/>
          <w:b/>
          <w:bCs/>
          <w:sz w:val="22"/>
          <w:szCs w:val="22"/>
        </w:rPr>
        <w:t>.</w:t>
      </w:r>
      <w:r w:rsidRPr="003B5E88">
        <w:rPr>
          <w:rFonts w:ascii="Times" w:hAnsi="Times" w:cs="Times New Roman"/>
          <w:b/>
          <w:bCs/>
          <w:i/>
          <w:iCs/>
          <w:sz w:val="22"/>
          <w:szCs w:val="22"/>
        </w:rPr>
        <w:br/>
      </w:r>
      <w:r w:rsidRPr="003B5E88">
        <w:rPr>
          <w:rFonts w:ascii="Times" w:hAnsi="Times" w:cs="Times New Roman"/>
          <w:i/>
          <w:iCs/>
          <w:sz w:val="22"/>
          <w:szCs w:val="22"/>
        </w:rPr>
        <w:t xml:space="preserve">Arcivescovo titolare di </w:t>
      </w:r>
      <w:proofErr w:type="spellStart"/>
      <w:r w:rsidRPr="003B5E88">
        <w:rPr>
          <w:rFonts w:ascii="Times" w:hAnsi="Times" w:cs="Times New Roman"/>
          <w:i/>
          <w:iCs/>
          <w:sz w:val="22"/>
          <w:szCs w:val="22"/>
        </w:rPr>
        <w:t>Thibica</w:t>
      </w:r>
      <w:proofErr w:type="spellEnd"/>
      <w:r w:rsidRPr="003B5E88">
        <w:rPr>
          <w:rFonts w:ascii="Times" w:hAnsi="Times" w:cs="Times New Roman"/>
          <w:i/>
          <w:iCs/>
          <w:sz w:val="22"/>
          <w:szCs w:val="22"/>
        </w:rPr>
        <w:br/>
        <w:t>Segretario</w:t>
      </w:r>
      <w:r w:rsidRPr="003B5E88">
        <w:rPr>
          <w:rFonts w:ascii="Times" w:eastAsia="Times New Roman" w:hAnsi="Times" w:cs="Times New Roman"/>
          <w:sz w:val="20"/>
          <w:szCs w:val="20"/>
        </w:rPr>
        <w:br w:type="textWrapping" w:clear="all"/>
        <w:t> </w:t>
      </w:r>
    </w:p>
    <w:p w14:paraId="066AF318" w14:textId="77777777" w:rsidR="003B5E88" w:rsidRPr="003B5E88" w:rsidRDefault="005D5C74" w:rsidP="003B5E88">
      <w:pPr>
        <w:rPr>
          <w:rFonts w:ascii="Times" w:eastAsia="Times New Roman" w:hAnsi="Times" w:cs="Times New Roman"/>
          <w:sz w:val="16"/>
          <w:szCs w:val="16"/>
        </w:rPr>
      </w:pPr>
      <w:r>
        <w:rPr>
          <w:rFonts w:ascii="Times" w:eastAsia="Times New Roman" w:hAnsi="Times" w:cs="Times New Roman"/>
          <w:sz w:val="16"/>
          <w:szCs w:val="16"/>
        </w:rPr>
        <w:pict w14:anchorId="7B927041">
          <v:rect id="_x0000_i1025" style="width:158.95pt;height:1pt" o:hrpct="330" o:hrstd="t" o:hr="t" fillcolor="#aaa" stroked="f"/>
        </w:pict>
      </w:r>
    </w:p>
    <w:bookmarkStart w:id="17" w:name="_ftn2"/>
    <w:p w14:paraId="25CA8C4E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"_ftnref2"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proofErr w:type="gramStart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[2</w:t>
      </w:r>
      <w:proofErr w:type="gramEnd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17"/>
      <w:r w:rsidRPr="003B5E88">
        <w:rPr>
          <w:rFonts w:ascii="Tahoma" w:hAnsi="Tahoma" w:cs="Tahoma"/>
          <w:color w:val="000000"/>
          <w:sz w:val="16"/>
          <w:szCs w:val="16"/>
        </w:rPr>
        <w:t> Messale Romano,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Prefazio dei defunti</w:t>
      </w:r>
      <w:r w:rsidRPr="003B5E88">
        <w:rPr>
          <w:rFonts w:ascii="Tahoma" w:hAnsi="Tahoma" w:cs="Tahoma"/>
          <w:color w:val="000000"/>
          <w:sz w:val="16"/>
          <w:szCs w:val="16"/>
        </w:rPr>
        <w:t>, I.</w:t>
      </w:r>
    </w:p>
    <w:bookmarkStart w:id="18" w:name="_ftn3"/>
    <w:p w14:paraId="66755F48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"_ftnref3"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proofErr w:type="gramStart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[3</w:t>
      </w:r>
      <w:proofErr w:type="gramEnd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18"/>
      <w:r w:rsidRPr="003B5E88">
        <w:rPr>
          <w:rFonts w:ascii="Tahoma" w:hAnsi="Tahoma" w:cs="Tahoma"/>
          <w:color w:val="000000"/>
          <w:sz w:val="16"/>
          <w:szCs w:val="16"/>
        </w:rPr>
        <w:t> Tertulliano,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 xml:space="preserve">De </w:t>
      </w:r>
      <w:proofErr w:type="spellStart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resurrectione</w:t>
      </w:r>
      <w:proofErr w:type="spellEnd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 xml:space="preserve"> </w:t>
      </w:r>
      <w:proofErr w:type="spellStart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carnis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, 1,1: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CCL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color w:val="000000"/>
          <w:sz w:val="16"/>
          <w:szCs w:val="16"/>
        </w:rPr>
        <w:t>2, 921.</w:t>
      </w:r>
    </w:p>
    <w:bookmarkStart w:id="19" w:name="_ftn4"/>
    <w:p w14:paraId="3FD529EB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"_ftnref4"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proofErr w:type="gramStart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[4</w:t>
      </w:r>
      <w:proofErr w:type="gramEnd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19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CIC</w:t>
      </w:r>
      <w:r w:rsidRPr="003B5E88">
        <w:rPr>
          <w:rFonts w:ascii="Tahoma" w:hAnsi="Tahoma" w:cs="Tahoma"/>
          <w:color w:val="000000"/>
          <w:sz w:val="16"/>
          <w:szCs w:val="16"/>
        </w:rPr>
        <w:t>, can. 1176, § </w:t>
      </w:r>
      <w:proofErr w:type="gramStart"/>
      <w:r w:rsidRPr="003B5E88">
        <w:rPr>
          <w:rFonts w:ascii="Tahoma" w:hAnsi="Tahoma" w:cs="Tahoma"/>
          <w:color w:val="000000"/>
          <w:sz w:val="16"/>
          <w:szCs w:val="16"/>
        </w:rPr>
        <w:t>3</w:t>
      </w:r>
      <w:proofErr w:type="gramEnd"/>
      <w:r w:rsidRPr="003B5E88">
        <w:rPr>
          <w:rFonts w:ascii="Tahoma" w:hAnsi="Tahoma" w:cs="Tahoma"/>
          <w:color w:val="000000"/>
          <w:sz w:val="16"/>
          <w:szCs w:val="16"/>
        </w:rPr>
        <w:t>; can. 1205;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CCEO</w:t>
      </w:r>
      <w:r w:rsidRPr="003B5E88">
        <w:rPr>
          <w:rFonts w:ascii="Tahoma" w:hAnsi="Tahoma" w:cs="Tahoma"/>
          <w:color w:val="000000"/>
          <w:sz w:val="16"/>
          <w:szCs w:val="16"/>
        </w:rPr>
        <w:t>, can. 876, § </w:t>
      </w:r>
      <w:proofErr w:type="gramStart"/>
      <w:r w:rsidRPr="003B5E88">
        <w:rPr>
          <w:rFonts w:ascii="Tahoma" w:hAnsi="Tahoma" w:cs="Tahoma"/>
          <w:color w:val="000000"/>
          <w:sz w:val="16"/>
          <w:szCs w:val="16"/>
        </w:rPr>
        <w:t>3</w:t>
      </w:r>
      <w:proofErr w:type="gramEnd"/>
      <w:r w:rsidRPr="003B5E88">
        <w:rPr>
          <w:rFonts w:ascii="Tahoma" w:hAnsi="Tahoma" w:cs="Tahoma"/>
          <w:color w:val="000000"/>
          <w:sz w:val="16"/>
          <w:szCs w:val="16"/>
        </w:rPr>
        <w:t>; can. 868.</w:t>
      </w:r>
    </w:p>
    <w:bookmarkStart w:id="20" w:name="_ftn5"/>
    <w:p w14:paraId="6FB5F143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"_ftnref5"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[5]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20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hyperlink r:id="rId6" w:history="1">
        <w:r w:rsidRPr="00D641D8">
          <w:rPr>
            <w:rFonts w:ascii="Tahoma" w:hAnsi="Tahoma" w:cs="Tahoma"/>
            <w:i/>
            <w:iCs/>
            <w:color w:val="663300"/>
            <w:sz w:val="16"/>
            <w:szCs w:val="16"/>
            <w:u w:val="single"/>
          </w:rPr>
          <w:t>Catechismo della Chiesa Cattolica</w:t>
        </w:r>
      </w:hyperlink>
      <w:r w:rsidRPr="003B5E88">
        <w:rPr>
          <w:rFonts w:ascii="Tahoma" w:hAnsi="Tahoma" w:cs="Tahoma"/>
          <w:color w:val="000000"/>
          <w:sz w:val="16"/>
          <w:szCs w:val="16"/>
        </w:rPr>
        <w:t>, n. 1681.</w:t>
      </w:r>
    </w:p>
    <w:bookmarkStart w:id="21" w:name="_ftn6"/>
    <w:p w14:paraId="31F58FD3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"_ftnref6"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[6]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21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hyperlink r:id="rId7" w:history="1">
        <w:r w:rsidRPr="00D641D8">
          <w:rPr>
            <w:rFonts w:ascii="Tahoma" w:hAnsi="Tahoma" w:cs="Tahoma"/>
            <w:i/>
            <w:iCs/>
            <w:color w:val="663300"/>
            <w:sz w:val="16"/>
            <w:szCs w:val="16"/>
            <w:u w:val="single"/>
          </w:rPr>
          <w:t>Catechismo della Chiesa Cattolica</w:t>
        </w:r>
      </w:hyperlink>
      <w:r w:rsidRPr="003B5E88">
        <w:rPr>
          <w:rFonts w:ascii="Tahoma" w:hAnsi="Tahoma" w:cs="Tahoma"/>
          <w:color w:val="000000"/>
          <w:sz w:val="16"/>
          <w:szCs w:val="16"/>
        </w:rPr>
        <w:t>, n. 2300.</w:t>
      </w:r>
    </w:p>
    <w:bookmarkStart w:id="22" w:name="_ftn7"/>
    <w:p w14:paraId="349B6E7D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"_ftnref7"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[7]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22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 xml:space="preserve">1 </w:t>
      </w:r>
      <w:proofErr w:type="spellStart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Cor</w:t>
      </w:r>
      <w:proofErr w:type="spellEnd"/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color w:val="000000"/>
          <w:sz w:val="16"/>
          <w:szCs w:val="16"/>
        </w:rPr>
        <w:t>15,42-44;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hyperlink r:id="rId8" w:history="1">
        <w:r w:rsidRPr="00D641D8">
          <w:rPr>
            <w:rFonts w:ascii="Tahoma" w:hAnsi="Tahoma" w:cs="Tahoma"/>
            <w:i/>
            <w:iCs/>
            <w:color w:val="663300"/>
            <w:sz w:val="16"/>
            <w:szCs w:val="16"/>
            <w:u w:val="single"/>
          </w:rPr>
          <w:t>Catechismo della Chiesa Cattolica</w:t>
        </w:r>
      </w:hyperlink>
      <w:r w:rsidRPr="003B5E88">
        <w:rPr>
          <w:rFonts w:ascii="Tahoma" w:hAnsi="Tahoma" w:cs="Tahoma"/>
          <w:color w:val="000000"/>
          <w:sz w:val="16"/>
          <w:szCs w:val="16"/>
        </w:rPr>
        <w:t>, n. 1683.</w:t>
      </w:r>
    </w:p>
    <w:bookmarkStart w:id="23" w:name="_ftn8"/>
    <w:p w14:paraId="49EA8D46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"_ftnref8"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proofErr w:type="gramStart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[8</w:t>
      </w:r>
      <w:proofErr w:type="gramEnd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23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 Sant’Agostino,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 xml:space="preserve">De cura pro </w:t>
      </w:r>
      <w:proofErr w:type="spellStart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mortuis</w:t>
      </w:r>
      <w:proofErr w:type="spellEnd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 xml:space="preserve"> </w:t>
      </w:r>
      <w:proofErr w:type="spellStart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gerenda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, 3, 5: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CSEL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color w:val="000000"/>
          <w:sz w:val="16"/>
          <w:szCs w:val="16"/>
        </w:rPr>
        <w:t>41, 628.</w:t>
      </w:r>
    </w:p>
    <w:bookmarkStart w:id="24" w:name="_ftn9"/>
    <w:p w14:paraId="463A846E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"_ftnref9"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[9]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24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 xml:space="preserve">. 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Conc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 xml:space="preserve">. 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Ecum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 xml:space="preserve">. 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Vat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 II, Costituzione pastorale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hyperlink r:id="rId9" w:history="1">
        <w:proofErr w:type="spellStart"/>
        <w:r w:rsidRPr="00D641D8">
          <w:rPr>
            <w:rFonts w:ascii="Tahoma" w:hAnsi="Tahoma" w:cs="Tahoma"/>
            <w:i/>
            <w:iCs/>
            <w:color w:val="663300"/>
            <w:sz w:val="16"/>
            <w:szCs w:val="16"/>
            <w:u w:val="single"/>
          </w:rPr>
          <w:t>Gaudium</w:t>
        </w:r>
        <w:proofErr w:type="spellEnd"/>
        <w:r w:rsidRPr="00D641D8">
          <w:rPr>
            <w:rFonts w:ascii="Tahoma" w:hAnsi="Tahoma" w:cs="Tahoma"/>
            <w:i/>
            <w:iCs/>
            <w:color w:val="663300"/>
            <w:sz w:val="16"/>
            <w:szCs w:val="16"/>
            <w:u w:val="single"/>
          </w:rPr>
          <w:t xml:space="preserve"> et </w:t>
        </w:r>
        <w:proofErr w:type="spellStart"/>
        <w:r w:rsidRPr="00D641D8">
          <w:rPr>
            <w:rFonts w:ascii="Tahoma" w:hAnsi="Tahoma" w:cs="Tahoma"/>
            <w:i/>
            <w:iCs/>
            <w:color w:val="663300"/>
            <w:sz w:val="16"/>
            <w:szCs w:val="16"/>
            <w:u w:val="single"/>
          </w:rPr>
          <w:t>spes</w:t>
        </w:r>
        <w:proofErr w:type="spellEnd"/>
      </w:hyperlink>
      <w:r w:rsidRPr="003B5E88">
        <w:rPr>
          <w:rFonts w:ascii="Tahoma" w:hAnsi="Tahoma" w:cs="Tahoma"/>
          <w:color w:val="000000"/>
          <w:sz w:val="16"/>
          <w:szCs w:val="16"/>
        </w:rPr>
        <w:t>, n. 14.</w:t>
      </w:r>
    </w:p>
    <w:bookmarkStart w:id="25" w:name="_ftn10"/>
    <w:p w14:paraId="4DF74D2C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"_ftnref10"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proofErr w:type="gramStart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[10</w:t>
      </w:r>
      <w:proofErr w:type="gramEnd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25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 Sant’Agostino,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 xml:space="preserve">De cura pro </w:t>
      </w:r>
      <w:proofErr w:type="spellStart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mortuis</w:t>
      </w:r>
      <w:proofErr w:type="spellEnd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 xml:space="preserve"> </w:t>
      </w:r>
      <w:proofErr w:type="spellStart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gerenda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, 3, 5: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CSEL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color w:val="000000"/>
          <w:sz w:val="16"/>
          <w:szCs w:val="16"/>
        </w:rPr>
        <w:t>41, 627.</w:t>
      </w:r>
    </w:p>
    <w:bookmarkStart w:id="26" w:name="_ftn11"/>
    <w:p w14:paraId="23586954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"_ftnref11"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proofErr w:type="gramStart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[11</w:t>
      </w:r>
      <w:proofErr w:type="gramEnd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26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Tb</w:t>
      </w:r>
      <w:proofErr w:type="spellEnd"/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color w:val="000000"/>
          <w:sz w:val="16"/>
          <w:szCs w:val="16"/>
        </w:rPr>
        <w:t>2, 9; 12, 12.</w:t>
      </w:r>
    </w:p>
    <w:bookmarkStart w:id="27" w:name="_ftn12"/>
    <w:p w14:paraId="11CD74EA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"_ftnref12"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[12]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27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hyperlink r:id="rId10" w:history="1">
        <w:r w:rsidRPr="00D641D8">
          <w:rPr>
            <w:rFonts w:ascii="Tahoma" w:hAnsi="Tahoma" w:cs="Tahoma"/>
            <w:i/>
            <w:iCs/>
            <w:color w:val="663300"/>
            <w:sz w:val="16"/>
            <w:szCs w:val="16"/>
            <w:u w:val="single"/>
          </w:rPr>
          <w:t>Catechismo della Chiesa Cattolica</w:t>
        </w:r>
      </w:hyperlink>
      <w:r w:rsidRPr="003B5E88">
        <w:rPr>
          <w:rFonts w:ascii="Tahoma" w:hAnsi="Tahoma" w:cs="Tahoma"/>
          <w:color w:val="000000"/>
          <w:sz w:val="16"/>
          <w:szCs w:val="16"/>
        </w:rPr>
        <w:t>, n. 2300.</w:t>
      </w:r>
    </w:p>
    <w:bookmarkStart w:id="28" w:name="_ftn13"/>
    <w:p w14:paraId="120AEDBB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"_ftnref13"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[13]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28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 Suprema Sacra Congregazione del Sant’Uffizio, Istruzione</w:t>
      </w:r>
      <w:r w:rsidRPr="00D641D8">
        <w:rPr>
          <w:rFonts w:ascii="Tahoma" w:hAnsi="Tahoma" w:cs="Tahoma"/>
          <w:i/>
          <w:iCs/>
          <w:color w:val="000000"/>
          <w:sz w:val="16"/>
          <w:szCs w:val="16"/>
        </w:rPr>
        <w:t> </w:t>
      </w:r>
      <w:proofErr w:type="spellStart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Piam</w:t>
      </w:r>
      <w:proofErr w:type="spellEnd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 xml:space="preserve"> et </w:t>
      </w:r>
      <w:proofErr w:type="spellStart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constantem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, 5 luglio 1963: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hyperlink r:id="rId11" w:history="1">
        <w:r w:rsidRPr="00D641D8">
          <w:rPr>
            <w:rFonts w:ascii="Tahoma" w:hAnsi="Tahoma" w:cs="Tahoma"/>
            <w:color w:val="663300"/>
            <w:sz w:val="16"/>
            <w:szCs w:val="16"/>
            <w:u w:val="single"/>
          </w:rPr>
          <w:t>AAS 56 (1964), 822</w:t>
        </w:r>
      </w:hyperlink>
      <w:r w:rsidRPr="003B5E88">
        <w:rPr>
          <w:rFonts w:ascii="Tahoma" w:hAnsi="Tahoma" w:cs="Tahoma"/>
          <w:color w:val="000000"/>
          <w:sz w:val="16"/>
          <w:szCs w:val="16"/>
        </w:rPr>
        <w:t>.</w:t>
      </w:r>
    </w:p>
    <w:bookmarkStart w:id="29" w:name="_ftn14"/>
    <w:p w14:paraId="484EE5AA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"_ftnref14"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proofErr w:type="gramStart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[14</w:t>
      </w:r>
      <w:proofErr w:type="gramEnd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29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CIC</w:t>
      </w:r>
      <w:r w:rsidRPr="003B5E88">
        <w:rPr>
          <w:rFonts w:ascii="Tahoma" w:hAnsi="Tahoma" w:cs="Tahoma"/>
          <w:color w:val="000000"/>
          <w:sz w:val="16"/>
          <w:szCs w:val="16"/>
        </w:rPr>
        <w:t xml:space="preserve">, can. 1176, § 3; </w:t>
      </w:r>
      <w:proofErr w:type="spellStart"/>
      <w:r w:rsidRPr="003B5E88">
        <w:rPr>
          <w:rFonts w:ascii="Tahoma" w:hAnsi="Tahoma" w:cs="Tahoma"/>
          <w:color w:val="000000"/>
          <w:sz w:val="16"/>
          <w:szCs w:val="16"/>
        </w:rPr>
        <w:t>cf</w:t>
      </w:r>
      <w:proofErr w:type="spellEnd"/>
      <w:r w:rsidRPr="003B5E88">
        <w:rPr>
          <w:rFonts w:ascii="Tahoma" w:hAnsi="Tahoma" w:cs="Tahoma"/>
          <w:color w:val="000000"/>
          <w:sz w:val="16"/>
          <w:szCs w:val="16"/>
        </w:rPr>
        <w:t>.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CCEO</w:t>
      </w:r>
      <w:r w:rsidRPr="003B5E88">
        <w:rPr>
          <w:rFonts w:ascii="Tahoma" w:hAnsi="Tahoma" w:cs="Tahoma"/>
          <w:color w:val="000000"/>
          <w:sz w:val="16"/>
          <w:szCs w:val="16"/>
        </w:rPr>
        <w:t>, can. 876, § </w:t>
      </w:r>
      <w:proofErr w:type="gramStart"/>
      <w:r w:rsidRPr="003B5E88">
        <w:rPr>
          <w:rFonts w:ascii="Tahoma" w:hAnsi="Tahoma" w:cs="Tahoma"/>
          <w:color w:val="000000"/>
          <w:sz w:val="16"/>
          <w:szCs w:val="16"/>
        </w:rPr>
        <w:t>3</w:t>
      </w:r>
      <w:proofErr w:type="gramEnd"/>
      <w:r w:rsidRPr="003B5E88">
        <w:rPr>
          <w:rFonts w:ascii="Tahoma" w:hAnsi="Tahoma" w:cs="Tahoma"/>
          <w:color w:val="000000"/>
          <w:sz w:val="16"/>
          <w:szCs w:val="16"/>
        </w:rPr>
        <w:t>.</w:t>
      </w:r>
    </w:p>
    <w:bookmarkStart w:id="30" w:name="_ftn15"/>
    <w:p w14:paraId="15CD9695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"_ftnref15"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[15]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30"/>
      <w:r w:rsidRPr="003B5E88">
        <w:rPr>
          <w:rFonts w:ascii="Tahoma" w:hAnsi="Tahoma" w:cs="Tahoma"/>
          <w:color w:val="000000"/>
          <w:sz w:val="16"/>
          <w:szCs w:val="16"/>
        </w:rPr>
        <w:t> </w:t>
      </w:r>
      <w:hyperlink r:id="rId12" w:history="1">
        <w:r w:rsidRPr="00D641D8">
          <w:rPr>
            <w:rFonts w:ascii="Tahoma" w:hAnsi="Tahoma" w:cs="Tahoma"/>
            <w:i/>
            <w:iCs/>
            <w:color w:val="663300"/>
            <w:sz w:val="16"/>
            <w:szCs w:val="16"/>
            <w:u w:val="single"/>
          </w:rPr>
          <w:t>Catechismo della Chiesa Cattolica</w:t>
        </w:r>
      </w:hyperlink>
      <w:r w:rsidRPr="003B5E88">
        <w:rPr>
          <w:rFonts w:ascii="Tahoma" w:hAnsi="Tahoma" w:cs="Tahoma"/>
          <w:color w:val="000000"/>
          <w:sz w:val="16"/>
          <w:szCs w:val="16"/>
        </w:rPr>
        <w:t>, n. 962.</w:t>
      </w:r>
    </w:p>
    <w:bookmarkStart w:id="31" w:name="_ftn16"/>
    <w:p w14:paraId="0B169438" w14:textId="77777777" w:rsidR="003B5E88" w:rsidRPr="003B5E88" w:rsidRDefault="003B5E88" w:rsidP="00D641D8">
      <w:pPr>
        <w:shd w:val="clear" w:color="auto" w:fill="FFFFFF"/>
        <w:spacing w:before="100" w:beforeAutospacing="1" w:after="100" w:afterAutospacing="1" w:line="80" w:lineRule="atLeast"/>
        <w:rPr>
          <w:rFonts w:ascii="Tahoma" w:hAnsi="Tahoma" w:cs="Tahoma"/>
          <w:color w:val="000000"/>
          <w:sz w:val="16"/>
          <w:szCs w:val="16"/>
        </w:rPr>
      </w:pPr>
      <w:r w:rsidRPr="003B5E88">
        <w:rPr>
          <w:rFonts w:ascii="Tahoma" w:hAnsi="Tahoma" w:cs="Tahoma"/>
          <w:color w:val="000000"/>
          <w:sz w:val="16"/>
          <w:szCs w:val="16"/>
        </w:rPr>
        <w:fldChar w:fldCharType="begin"/>
      </w:r>
      <w:r w:rsidRPr="003B5E88">
        <w:rPr>
          <w:rFonts w:ascii="Tahoma" w:hAnsi="Tahoma" w:cs="Tahoma"/>
          <w:color w:val="000000"/>
          <w:sz w:val="16"/>
          <w:szCs w:val="16"/>
        </w:rPr>
        <w:instrText xml:space="preserve"> HYPERLINK "http://www.vatican.va/roman_curia/congregations/cfaith/documents/rc_con_cfaith_doc_20160815_ad-resurgendum-cum-christo_it.html" \l "_ftnref16" \o "" </w:instrTex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separate"/>
      </w:r>
      <w:proofErr w:type="gramStart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[16</w:t>
      </w:r>
      <w:proofErr w:type="gramEnd"/>
      <w:r w:rsidRPr="00D641D8">
        <w:rPr>
          <w:rFonts w:ascii="Tahoma" w:hAnsi="Tahoma" w:cs="Tahoma"/>
          <w:color w:val="663300"/>
          <w:sz w:val="16"/>
          <w:szCs w:val="16"/>
          <w:u w:val="single"/>
        </w:rPr>
        <w:t>]</w:t>
      </w:r>
      <w:r w:rsidRPr="003B5E88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31"/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 CIC</w:t>
      </w:r>
      <w:r w:rsidRPr="003B5E88">
        <w:rPr>
          <w:rFonts w:ascii="Tahoma" w:hAnsi="Tahoma" w:cs="Tahoma"/>
          <w:color w:val="000000"/>
          <w:sz w:val="16"/>
          <w:szCs w:val="16"/>
        </w:rPr>
        <w:t>, can. 1184;</w:t>
      </w:r>
      <w:r w:rsidRPr="00D641D8">
        <w:rPr>
          <w:rFonts w:ascii="Tahoma" w:hAnsi="Tahoma" w:cs="Tahoma"/>
          <w:color w:val="000000"/>
          <w:sz w:val="16"/>
          <w:szCs w:val="16"/>
        </w:rPr>
        <w:t> </w:t>
      </w:r>
      <w:r w:rsidRPr="003B5E88">
        <w:rPr>
          <w:rFonts w:ascii="Tahoma" w:hAnsi="Tahoma" w:cs="Tahoma"/>
          <w:i/>
          <w:iCs/>
          <w:color w:val="000000"/>
          <w:sz w:val="16"/>
          <w:szCs w:val="16"/>
        </w:rPr>
        <w:t>CCEO</w:t>
      </w:r>
      <w:r w:rsidRPr="003B5E88">
        <w:rPr>
          <w:rFonts w:ascii="Tahoma" w:hAnsi="Tahoma" w:cs="Tahoma"/>
          <w:color w:val="000000"/>
          <w:sz w:val="16"/>
          <w:szCs w:val="16"/>
        </w:rPr>
        <w:t xml:space="preserve">, can. 876, § </w:t>
      </w:r>
      <w:proofErr w:type="gramStart"/>
      <w:r w:rsidRPr="003B5E88">
        <w:rPr>
          <w:rFonts w:ascii="Tahoma" w:hAnsi="Tahoma" w:cs="Tahoma"/>
          <w:color w:val="000000"/>
          <w:sz w:val="16"/>
          <w:szCs w:val="16"/>
        </w:rPr>
        <w:t>3</w:t>
      </w:r>
      <w:proofErr w:type="gramEnd"/>
      <w:r w:rsidRPr="003B5E88">
        <w:rPr>
          <w:rFonts w:ascii="Tahoma" w:hAnsi="Tahoma" w:cs="Tahoma"/>
          <w:color w:val="000000"/>
          <w:sz w:val="16"/>
          <w:szCs w:val="16"/>
        </w:rPr>
        <w:t>.</w:t>
      </w:r>
    </w:p>
    <w:p w14:paraId="7C40E3C2" w14:textId="77777777" w:rsidR="003B5E88" w:rsidRPr="003B5E88" w:rsidRDefault="003B5E88" w:rsidP="003B5E88">
      <w:pPr>
        <w:rPr>
          <w:rFonts w:ascii="Times" w:eastAsia="Times New Roman" w:hAnsi="Times" w:cs="Times New Roman"/>
          <w:sz w:val="16"/>
          <w:szCs w:val="16"/>
        </w:rPr>
      </w:pPr>
    </w:p>
    <w:p w14:paraId="606E8B40" w14:textId="77777777" w:rsidR="00942FB9" w:rsidRPr="00D641D8" w:rsidRDefault="00942FB9">
      <w:pPr>
        <w:rPr>
          <w:rFonts w:hint="eastAsia"/>
          <w:sz w:val="16"/>
          <w:szCs w:val="16"/>
        </w:rPr>
      </w:pPr>
    </w:p>
    <w:sectPr w:rsidR="00942FB9" w:rsidRPr="00D641D8" w:rsidSect="005D5C74">
      <w:pgSz w:w="11900" w:h="16840"/>
      <w:pgMar w:top="993" w:right="1134" w:bottom="1134" w:left="1134" w:header="708" w:footer="708" w:gutter="0"/>
      <w:cols w:space="708"/>
      <w:docGrid w:linePitch="360"/>
      <w:printerSettings r:id="rId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88"/>
    <w:rsid w:val="001C6ECB"/>
    <w:rsid w:val="003B5E88"/>
    <w:rsid w:val="003E4A70"/>
    <w:rsid w:val="005D5C74"/>
    <w:rsid w:val="00942FB9"/>
    <w:rsid w:val="00D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374B0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5E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3B5E88"/>
  </w:style>
  <w:style w:type="character" w:styleId="Collegamentoipertestuale">
    <w:name w:val="Hyperlink"/>
    <w:basedOn w:val="Caratterepredefinitoparagrafo"/>
    <w:uiPriority w:val="99"/>
    <w:semiHidden/>
    <w:unhideWhenUsed/>
    <w:rsid w:val="003B5E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EC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6E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5E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3B5E88"/>
  </w:style>
  <w:style w:type="character" w:styleId="Collegamentoipertestuale">
    <w:name w:val="Hyperlink"/>
    <w:basedOn w:val="Caratterepredefinitoparagrafo"/>
    <w:uiPriority w:val="99"/>
    <w:semiHidden/>
    <w:unhideWhenUsed/>
    <w:rsid w:val="003B5E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EC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6E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atican.va/archive/aas/documents/AAS-56-1964-ocr.pdf" TargetMode="External"/><Relationship Id="rId12" Type="http://schemas.openxmlformats.org/officeDocument/2006/relationships/hyperlink" Target="http://www.vatican.va/archive/ccc_it/documents/2663cat017-308.PDF" TargetMode="Externa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vatican.va/archive/ccc_it/documents/2663cat309-472.PDF" TargetMode="External"/><Relationship Id="rId7" Type="http://schemas.openxmlformats.org/officeDocument/2006/relationships/hyperlink" Target="http://www.vatican.va/archive/ccc_it/documents/2663cat473-668.PDF" TargetMode="External"/><Relationship Id="rId8" Type="http://schemas.openxmlformats.org/officeDocument/2006/relationships/hyperlink" Target="http://www.vatican.va/archive/ccc_it/documents/2663cat309-472.PDF" TargetMode="External"/><Relationship Id="rId9" Type="http://schemas.openxmlformats.org/officeDocument/2006/relationships/hyperlink" Target="http://www.vatican.va/archive/hist_councils/ii_vatican_council/documents/vat-ii_const_19651207_gaudium-et-spes_it.html" TargetMode="External"/><Relationship Id="rId10" Type="http://schemas.openxmlformats.org/officeDocument/2006/relationships/hyperlink" Target="http://www.vatican.va/archive/ccc_it/documents/2663cat473-66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2459</Words>
  <Characters>14021</Characters>
  <Application>Microsoft Macintosh Word</Application>
  <DocSecurity>0</DocSecurity>
  <Lines>116</Lines>
  <Paragraphs>32</Paragraphs>
  <ScaleCrop>false</ScaleCrop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4</cp:revision>
  <cp:lastPrinted>2016-10-29T07:18:00Z</cp:lastPrinted>
  <dcterms:created xsi:type="dcterms:W3CDTF">2016-10-27T09:40:00Z</dcterms:created>
  <dcterms:modified xsi:type="dcterms:W3CDTF">2016-10-29T07:19:00Z</dcterms:modified>
</cp:coreProperties>
</file>